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836E3FF" w:rsidR="004C0604" w:rsidRPr="00455529" w:rsidRDefault="007860EE" w:rsidP="004555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47"/>
        <w:jc w:val="center"/>
        <w:rPr>
          <w:rFonts w:asciiTheme="minorHAnsi" w:eastAsia="Arial" w:hAnsiTheme="minorHAnsi" w:cstheme="minorHAnsi"/>
          <w:b/>
          <w:color w:val="000080"/>
          <w:sz w:val="24"/>
          <w:szCs w:val="24"/>
          <w:shd w:val="clear" w:color="auto" w:fill="D8D8D8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>RELAZIONE DEL TESORIERE AL BILANCIO DI PREVISIONE 202</w:t>
      </w:r>
      <w:r w:rsidR="00CD31BA">
        <w:rPr>
          <w:rFonts w:asciiTheme="minorHAnsi" w:eastAsia="Arial" w:hAnsiTheme="minorHAnsi" w:cstheme="minorHAnsi"/>
          <w:b/>
          <w:sz w:val="24"/>
          <w:szCs w:val="24"/>
        </w:rPr>
        <w:t>5</w:t>
      </w:r>
    </w:p>
    <w:p w14:paraId="00000002" w14:textId="77777777" w:rsidR="004C0604" w:rsidRPr="00455529" w:rsidRDefault="007860EE">
      <w:pPr>
        <w:spacing w:after="0"/>
        <w:ind w:left="30"/>
        <w:jc w:val="center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00000003" w14:textId="15D52F57" w:rsidR="004C0604" w:rsidRPr="00455529" w:rsidRDefault="007860EE" w:rsidP="00455529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Si sottopone all’Assemblea degli iscritti all’Ordine delle Professioni sanitarie di Forlì-Cesena il Bilancio di previsione 202</w:t>
      </w:r>
      <w:r w:rsidR="00CD31BA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, redatto sulla base dei principi che regolano la contabilità degli Enti pubblici non economici. </w:t>
      </w:r>
    </w:p>
    <w:p w14:paraId="00000004" w14:textId="77777777" w:rsidR="004C0604" w:rsidRPr="00455529" w:rsidRDefault="004C0604" w:rsidP="004555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05" w14:textId="77777777" w:rsidR="004C0604" w:rsidRPr="00455529" w:rsidRDefault="007860EE" w:rsidP="004555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>CONTENUTO DEL BILANCIO DI PREVISIONE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006" w14:textId="61E520C3" w:rsidR="004C0604" w:rsidRPr="00455529" w:rsidRDefault="007860EE" w:rsidP="00455529">
      <w:pPr>
        <w:spacing w:after="105"/>
        <w:ind w:left="-5" w:right="471" w:hanging="10"/>
        <w:jc w:val="both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Il bilancio di previsione 202</w:t>
      </w:r>
      <w:r w:rsidR="00CD31BA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si compone dei seguenti documenti: </w:t>
      </w:r>
    </w:p>
    <w:p w14:paraId="00000007" w14:textId="77777777" w:rsidR="004C0604" w:rsidRPr="00455529" w:rsidRDefault="007860EE" w:rsidP="00455529">
      <w:pPr>
        <w:numPr>
          <w:ilvl w:val="0"/>
          <w:numId w:val="2"/>
        </w:numPr>
        <w:spacing w:after="4" w:line="366" w:lineRule="auto"/>
        <w:ind w:right="-537"/>
        <w:jc w:val="both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preventivo finanziario gestionale di competenza finanziaria;</w:t>
      </w:r>
    </w:p>
    <w:p w14:paraId="00000008" w14:textId="77777777" w:rsidR="004C0604" w:rsidRPr="00455529" w:rsidRDefault="007860EE" w:rsidP="00455529">
      <w:pPr>
        <w:numPr>
          <w:ilvl w:val="0"/>
          <w:numId w:val="2"/>
        </w:numPr>
        <w:spacing w:after="4" w:line="366" w:lineRule="auto"/>
        <w:ind w:right="-537"/>
        <w:jc w:val="both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relazione del Consigliere Tesoriere;</w:t>
      </w:r>
    </w:p>
    <w:p w14:paraId="0000000A" w14:textId="77777777" w:rsidR="004C0604" w:rsidRPr="00455529" w:rsidRDefault="004C0604">
      <w:pPr>
        <w:spacing w:after="4" w:line="366" w:lineRule="auto"/>
        <w:ind w:right="-537"/>
        <w:jc w:val="both"/>
        <w:rPr>
          <w:rFonts w:asciiTheme="minorHAnsi" w:hAnsiTheme="minorHAnsi" w:cstheme="minorHAnsi"/>
          <w:sz w:val="24"/>
          <w:szCs w:val="24"/>
        </w:rPr>
      </w:pPr>
    </w:p>
    <w:p w14:paraId="0000000B" w14:textId="77777777" w:rsidR="004C0604" w:rsidRPr="00455529" w:rsidRDefault="007860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4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BILANCIO PREVENTIVO FINANZIARIO GESTIONALE </w:t>
      </w:r>
    </w:p>
    <w:p w14:paraId="0000000C" w14:textId="77777777" w:rsidR="004C0604" w:rsidRPr="00455529" w:rsidRDefault="007860EE">
      <w:pPr>
        <w:spacing w:after="0"/>
        <w:ind w:left="24"/>
        <w:jc w:val="center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0000000D" w14:textId="3E5CE691" w:rsidR="004C0604" w:rsidRPr="00455529" w:rsidRDefault="007860EE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Il bilancio di previsione 202</w:t>
      </w:r>
      <w:r w:rsidR="00CD31BA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è stato redatto tenendo conto dei dati storici, delle variazioni apportate nel 202</w:t>
      </w:r>
      <w:r w:rsidR="00CD31BA">
        <w:rPr>
          <w:rFonts w:asciiTheme="minorHAnsi" w:eastAsia="Arial" w:hAnsiTheme="minorHAnsi" w:cstheme="minorHAnsi"/>
          <w:sz w:val="24"/>
          <w:szCs w:val="24"/>
        </w:rPr>
        <w:t>4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e risultano coerenti con le attività programmate. Il bilancio è stato elaborato sulla base dei criteri di attendibilità, congruità e coerenza, rispettando il principio della prudenza. </w:t>
      </w:r>
    </w:p>
    <w:p w14:paraId="0000000E" w14:textId="3DE00537" w:rsidR="004C0604" w:rsidRPr="00455529" w:rsidRDefault="007860EE">
      <w:pPr>
        <w:spacing w:after="4" w:line="366" w:lineRule="auto"/>
        <w:ind w:left="-5" w:right="471" w:hanging="10"/>
        <w:jc w:val="both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Il preventivo 202</w:t>
      </w:r>
      <w:r w:rsidR="00CD31BA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si chiude con un pareggio economico finanziario, sulla base delle previsioni che seguono.</w:t>
      </w:r>
    </w:p>
    <w:p w14:paraId="00000010" w14:textId="76BFE478" w:rsidR="004C0604" w:rsidRPr="00455529" w:rsidRDefault="007860EE" w:rsidP="00455529">
      <w:pPr>
        <w:spacing w:after="116"/>
        <w:jc w:val="center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ENTRATE</w:t>
      </w:r>
    </w:p>
    <w:p w14:paraId="00000012" w14:textId="4BF95D95" w:rsidR="004C0604" w:rsidRPr="00455529" w:rsidRDefault="007860EE" w:rsidP="00455529">
      <w:pPr>
        <w:spacing w:after="126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ENTRATE CONTRIBUTIVE A CARICO DEGLI ISCRITTI € </w:t>
      </w:r>
      <w:r w:rsidR="00333581" w:rsidRPr="00455529">
        <w:rPr>
          <w:rFonts w:asciiTheme="minorHAnsi" w:eastAsia="Arial" w:hAnsiTheme="minorHAnsi" w:cstheme="minorHAnsi"/>
          <w:b/>
          <w:sz w:val="24"/>
          <w:szCs w:val="24"/>
        </w:rPr>
        <w:t>17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="00333581" w:rsidRPr="00455529">
        <w:rPr>
          <w:rFonts w:asciiTheme="minorHAnsi" w:eastAsia="Arial" w:hAnsiTheme="minorHAnsi" w:cstheme="minorHAnsi"/>
          <w:b/>
          <w:sz w:val="24"/>
          <w:szCs w:val="24"/>
        </w:rPr>
        <w:t>.0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="00333581" w:rsidRPr="00455529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="00640242" w:rsidRPr="00455529">
        <w:rPr>
          <w:rFonts w:asciiTheme="minorHAnsi" w:eastAsia="Arial" w:hAnsiTheme="minorHAnsi" w:cstheme="minorHAnsi"/>
          <w:b/>
          <w:sz w:val="24"/>
          <w:szCs w:val="24"/>
        </w:rPr>
        <w:t>,00</w:t>
      </w:r>
    </w:p>
    <w:p w14:paraId="00000013" w14:textId="79E0061B" w:rsidR="004C0604" w:rsidRPr="00BB72C6" w:rsidRDefault="007860EE">
      <w:pPr>
        <w:spacing w:after="50" w:line="366" w:lineRule="auto"/>
        <w:ind w:left="-5" w:right="471" w:hanging="1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Per l’esercizio 202</w:t>
      </w:r>
      <w:r w:rsidR="00BB72C6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il Consiglio dell’Ordine, tenuto conto della necessità di preservare l’integrità dell’Ente per far s</w:t>
      </w:r>
      <w:r w:rsidR="00640242" w:rsidRPr="00455529">
        <w:rPr>
          <w:rFonts w:asciiTheme="minorHAnsi" w:eastAsia="Arial" w:hAnsiTheme="minorHAnsi" w:cstheme="minorHAnsi"/>
          <w:sz w:val="24"/>
          <w:szCs w:val="24"/>
        </w:rPr>
        <w:t>ì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che sia dotato dei mezzi finanziari necessari a non pregiudicarne la sua efficienza ed efficacia, sia organizzativa che operativa, al servizio degli iscritti e della collettività e a tutela della professione, ha </w:t>
      </w:r>
      <w:r w:rsidR="00BB72C6">
        <w:rPr>
          <w:rFonts w:asciiTheme="minorHAnsi" w:eastAsia="Arial" w:hAnsiTheme="minorHAnsi" w:cstheme="minorHAnsi"/>
          <w:sz w:val="24"/>
          <w:szCs w:val="24"/>
        </w:rPr>
        <w:t xml:space="preserve">stabilito 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di </w:t>
      </w:r>
      <w:r w:rsidR="00BB72C6">
        <w:rPr>
          <w:rFonts w:asciiTheme="minorHAnsi" w:eastAsia="Arial" w:hAnsiTheme="minorHAnsi" w:cstheme="minorHAnsi"/>
          <w:sz w:val="24"/>
          <w:szCs w:val="24"/>
        </w:rPr>
        <w:t xml:space="preserve">mantenere 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la quota annuale a carico degli iscritti in misura pari a 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>€</w:t>
      </w:r>
      <w:r w:rsidR="00640242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333581" w:rsidRPr="00455529">
        <w:rPr>
          <w:rFonts w:asciiTheme="minorHAnsi" w:eastAsia="Arial" w:hAnsiTheme="minorHAnsi" w:cstheme="minorHAnsi"/>
          <w:b/>
          <w:sz w:val="24"/>
          <w:szCs w:val="24"/>
        </w:rPr>
        <w:t>8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5</w:t>
      </w:r>
      <w:r w:rsidR="00640242" w:rsidRPr="00455529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="00640242" w:rsidRPr="00455529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="00BB72C6" w:rsidRPr="00BB72C6">
        <w:rPr>
          <w:rFonts w:asciiTheme="minorHAnsi" w:eastAsia="Arial" w:hAnsiTheme="minorHAnsi" w:cstheme="minorHAnsi"/>
          <w:bCs/>
          <w:sz w:val="24"/>
          <w:szCs w:val="24"/>
        </w:rPr>
        <w:t>, come per l’anno 2024.</w:t>
      </w:r>
    </w:p>
    <w:p w14:paraId="00000014" w14:textId="6C5F33AC" w:rsidR="004C0604" w:rsidRPr="00455529" w:rsidRDefault="007860EE">
      <w:pPr>
        <w:spacing w:after="50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La previsione è stata formulata sulla base degli iscritti risultanti alla data del </w:t>
      </w:r>
      <w:r w:rsidR="00640242" w:rsidRPr="00455529">
        <w:rPr>
          <w:rFonts w:asciiTheme="minorHAnsi" w:eastAsia="Arial" w:hAnsiTheme="minorHAnsi" w:cstheme="minorHAnsi"/>
          <w:sz w:val="24"/>
          <w:szCs w:val="24"/>
        </w:rPr>
        <w:t>3</w:t>
      </w:r>
      <w:r w:rsidR="00333581" w:rsidRPr="00455529">
        <w:rPr>
          <w:rFonts w:asciiTheme="minorHAnsi" w:eastAsia="Arial" w:hAnsiTheme="minorHAnsi" w:cstheme="minorHAnsi"/>
          <w:sz w:val="24"/>
          <w:szCs w:val="24"/>
        </w:rPr>
        <w:t>1</w:t>
      </w:r>
      <w:r w:rsidR="00640242" w:rsidRPr="00455529">
        <w:rPr>
          <w:rFonts w:asciiTheme="minorHAnsi" w:eastAsia="Arial" w:hAnsiTheme="minorHAnsi" w:cstheme="minorHAnsi"/>
          <w:sz w:val="24"/>
          <w:szCs w:val="24"/>
        </w:rPr>
        <w:t>/1</w:t>
      </w:r>
      <w:r w:rsidR="00333581" w:rsidRPr="00455529">
        <w:rPr>
          <w:rFonts w:asciiTheme="minorHAnsi" w:eastAsia="Arial" w:hAnsiTheme="minorHAnsi" w:cstheme="minorHAnsi"/>
          <w:sz w:val="24"/>
          <w:szCs w:val="24"/>
        </w:rPr>
        <w:t>0</w:t>
      </w:r>
      <w:r w:rsidR="00640242" w:rsidRPr="00455529">
        <w:rPr>
          <w:rFonts w:asciiTheme="minorHAnsi" w:eastAsia="Arial" w:hAnsiTheme="minorHAnsi" w:cstheme="minorHAnsi"/>
          <w:sz w:val="24"/>
          <w:szCs w:val="24"/>
        </w:rPr>
        <w:t>/202</w:t>
      </w:r>
      <w:r w:rsidR="00333581" w:rsidRPr="00455529">
        <w:rPr>
          <w:rFonts w:asciiTheme="minorHAnsi" w:eastAsia="Arial" w:hAnsiTheme="minorHAnsi" w:cstheme="minorHAnsi"/>
          <w:sz w:val="24"/>
          <w:szCs w:val="24"/>
        </w:rPr>
        <w:t>3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al netto di presunte cancellazioni entro il 31/12/202</w:t>
      </w:r>
      <w:r w:rsidR="00BB72C6">
        <w:rPr>
          <w:rFonts w:asciiTheme="minorHAnsi" w:eastAsia="Arial" w:hAnsiTheme="minorHAnsi" w:cstheme="minorHAnsi"/>
          <w:sz w:val="24"/>
          <w:szCs w:val="24"/>
        </w:rPr>
        <w:t>4</w:t>
      </w:r>
      <w:r w:rsidRPr="00455529">
        <w:rPr>
          <w:rFonts w:asciiTheme="minorHAnsi" w:eastAsia="Arial" w:hAnsiTheme="minorHAnsi" w:cstheme="minorHAnsi"/>
          <w:sz w:val="24"/>
          <w:szCs w:val="24"/>
        </w:rPr>
        <w:t>, e stimando i nuovi iscritti fino al 31/12/202</w:t>
      </w:r>
      <w:r w:rsidR="00BB72C6">
        <w:rPr>
          <w:rFonts w:asciiTheme="minorHAnsi" w:eastAsia="Arial" w:hAnsiTheme="minorHAnsi" w:cstheme="minorHAnsi"/>
          <w:sz w:val="24"/>
          <w:szCs w:val="24"/>
        </w:rPr>
        <w:t>4</w:t>
      </w:r>
      <w:r w:rsidRPr="00455529">
        <w:rPr>
          <w:rFonts w:asciiTheme="minorHAnsi" w:eastAsia="Arial" w:hAnsiTheme="minorHAnsi" w:cstheme="minorHAnsi"/>
          <w:sz w:val="24"/>
          <w:szCs w:val="24"/>
        </w:rPr>
        <w:t>, che pagano la quota all’atto dell’iscrizione.</w:t>
      </w:r>
    </w:p>
    <w:p w14:paraId="00000015" w14:textId="5938E16D" w:rsidR="004C0604" w:rsidRPr="00455529" w:rsidRDefault="0078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6" w:lineRule="auto"/>
        <w:ind w:right="471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N. </w:t>
      </w:r>
      <w:r w:rsidR="00BB72C6">
        <w:rPr>
          <w:rFonts w:asciiTheme="minorHAnsi" w:eastAsia="Arial" w:hAnsiTheme="minorHAnsi" w:cstheme="minorHAnsi"/>
          <w:sz w:val="24"/>
          <w:szCs w:val="24"/>
        </w:rPr>
        <w:t>2000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iscritti all’Albo, con quote di € </w:t>
      </w:r>
      <w:r w:rsidR="00333581" w:rsidRPr="00455529">
        <w:rPr>
          <w:rFonts w:asciiTheme="minorHAnsi" w:eastAsia="Arial" w:hAnsiTheme="minorHAnsi" w:cstheme="minorHAnsi"/>
          <w:sz w:val="24"/>
          <w:szCs w:val="24"/>
        </w:rPr>
        <w:t>8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5,00, 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a favore del nostro Ordine per complessivi 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>€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1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70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.0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0,00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: rispetto alle previsioni del bilancio 2024 ci sono state 58 nuove iscrizioni.</w:t>
      </w:r>
      <w:r w:rsidR="001E3373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00000016" w14:textId="360F83FF" w:rsidR="004C0604" w:rsidRPr="00455529" w:rsidRDefault="0078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366" w:lineRule="auto"/>
        <w:ind w:right="47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N. 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50 </w:t>
      </w:r>
      <w:r w:rsidRPr="00455529">
        <w:rPr>
          <w:rFonts w:asciiTheme="minorHAnsi" w:eastAsia="Arial" w:hAnsiTheme="minorHAnsi" w:cstheme="minorHAnsi"/>
          <w:sz w:val="24"/>
          <w:szCs w:val="24"/>
        </w:rPr>
        <w:t>nuove iscrizioni preventivate nel corso del 202</w:t>
      </w:r>
      <w:r w:rsidR="00BB72C6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, per complessivi 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>€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333581" w:rsidRPr="00455529">
        <w:rPr>
          <w:rFonts w:asciiTheme="minorHAnsi" w:eastAsia="Arial" w:hAnsiTheme="minorHAnsi" w:cstheme="minorHAnsi"/>
          <w:b/>
          <w:sz w:val="24"/>
          <w:szCs w:val="24"/>
        </w:rPr>
        <w:t>4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333581" w:rsidRPr="00455529">
        <w:rPr>
          <w:rFonts w:asciiTheme="minorHAnsi" w:eastAsia="Arial" w:hAnsiTheme="minorHAnsi" w:cstheme="minorHAnsi"/>
          <w:b/>
          <w:sz w:val="24"/>
          <w:szCs w:val="24"/>
        </w:rPr>
        <w:t>2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50,00</w:t>
      </w:r>
    </w:p>
    <w:p w14:paraId="1B01BE58" w14:textId="282347B3" w:rsidR="00333581" w:rsidRPr="00455529" w:rsidRDefault="00333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366" w:lineRule="auto"/>
        <w:ind w:right="47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N. 50 quote per Diritti di segreteria, per complessivi </w:t>
      </w:r>
      <w:r w:rsidRPr="00455529">
        <w:rPr>
          <w:rFonts w:asciiTheme="minorHAnsi" w:eastAsia="Arial" w:hAnsiTheme="minorHAnsi" w:cstheme="minorHAnsi"/>
          <w:b/>
          <w:bCs/>
          <w:sz w:val="24"/>
          <w:szCs w:val="24"/>
        </w:rPr>
        <w:t>€ 1.750,00</w:t>
      </w:r>
    </w:p>
    <w:p w14:paraId="00000017" w14:textId="77777777" w:rsidR="004C0604" w:rsidRPr="00455529" w:rsidRDefault="004C0604">
      <w:pPr>
        <w:spacing w:after="119"/>
        <w:rPr>
          <w:rFonts w:asciiTheme="minorHAnsi" w:hAnsiTheme="minorHAnsi" w:cstheme="minorHAnsi"/>
          <w:sz w:val="24"/>
          <w:szCs w:val="24"/>
        </w:rPr>
      </w:pPr>
    </w:p>
    <w:p w14:paraId="11D2DC03" w14:textId="77777777" w:rsidR="0019602B" w:rsidRPr="00455529" w:rsidRDefault="0019602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5665"/>
          <w:tab w:val="center" w:pos="6373"/>
          <w:tab w:val="center" w:pos="7081"/>
          <w:tab w:val="center" w:pos="8691"/>
        </w:tabs>
        <w:spacing w:after="128"/>
        <w:ind w:left="-15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>ENTRATE PER INIZIATIVE CULTURALI E AGGIORNAMENTI PROFESSIONALI</w:t>
      </w:r>
    </w:p>
    <w:p w14:paraId="00000018" w14:textId="7BF52D74" w:rsidR="004C0604" w:rsidRPr="00455529" w:rsidRDefault="00E32F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5665"/>
          <w:tab w:val="center" w:pos="6373"/>
          <w:tab w:val="center" w:pos="7081"/>
          <w:tab w:val="center" w:pos="8691"/>
        </w:tabs>
        <w:spacing w:after="128"/>
        <w:ind w:left="-15"/>
        <w:rPr>
          <w:rFonts w:asciiTheme="minorHAnsi" w:eastAsia="Arial" w:hAnsiTheme="minorHAnsi" w:cstheme="minorHAnsi"/>
          <w:bCs/>
          <w:sz w:val="24"/>
          <w:szCs w:val="24"/>
        </w:rPr>
      </w:pPr>
      <w:r w:rsidRPr="00455529">
        <w:rPr>
          <w:rFonts w:asciiTheme="minorHAnsi" w:eastAsia="Arial" w:hAnsiTheme="minorHAnsi" w:cstheme="minorHAnsi"/>
          <w:bCs/>
          <w:sz w:val="24"/>
          <w:szCs w:val="24"/>
        </w:rPr>
        <w:t>Non previste</w:t>
      </w:r>
    </w:p>
    <w:p w14:paraId="3B81BC31" w14:textId="77777777" w:rsidR="00E27767" w:rsidRPr="00455529" w:rsidRDefault="00E2776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rPr>
          <w:rFonts w:asciiTheme="minorHAnsi" w:eastAsia="Arial" w:hAnsiTheme="minorHAnsi" w:cstheme="minorHAnsi"/>
          <w:b/>
          <w:sz w:val="24"/>
          <w:szCs w:val="24"/>
        </w:rPr>
      </w:pPr>
    </w:p>
    <w:p w14:paraId="11581363" w14:textId="77777777" w:rsidR="00E32F59" w:rsidRPr="00455529" w:rsidRDefault="00E2776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ENTRATE PER </w:t>
      </w:r>
      <w:r w:rsidR="007860EE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REDDITI E PROVENTI PATRIMONIALI </w:t>
      </w:r>
    </w:p>
    <w:p w14:paraId="00000021" w14:textId="7D10FC1A" w:rsidR="004C0604" w:rsidRPr="00455529" w:rsidRDefault="00E32F59" w:rsidP="00E32F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rPr>
          <w:rFonts w:asciiTheme="minorHAnsi" w:eastAsia="Arial" w:hAnsiTheme="minorHAnsi" w:cstheme="minorHAnsi"/>
          <w:bCs/>
          <w:sz w:val="24"/>
          <w:szCs w:val="24"/>
        </w:rPr>
      </w:pPr>
      <w:r w:rsidRPr="00455529">
        <w:rPr>
          <w:rFonts w:asciiTheme="minorHAnsi" w:eastAsia="Arial" w:hAnsiTheme="minorHAnsi" w:cstheme="minorHAnsi"/>
          <w:bCs/>
          <w:sz w:val="24"/>
          <w:szCs w:val="24"/>
        </w:rPr>
        <w:t xml:space="preserve">Non previste </w:t>
      </w:r>
    </w:p>
    <w:p w14:paraId="0FA47E8A" w14:textId="77777777" w:rsidR="00E32F59" w:rsidRPr="00455529" w:rsidRDefault="00E32F59" w:rsidP="00E32F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</w:pPr>
    </w:p>
    <w:p w14:paraId="227CE002" w14:textId="636E1C94" w:rsidR="00E27767" w:rsidRPr="00455529" w:rsidRDefault="00E27767">
      <w:pPr>
        <w:spacing w:after="105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>ENTRATE NON CLASSIFICABILI IN ALTRE VOCI</w:t>
      </w:r>
    </w:p>
    <w:p w14:paraId="43926D0B" w14:textId="31A347B0" w:rsidR="00E27767" w:rsidRPr="00455529" w:rsidRDefault="00E32F59">
      <w:pPr>
        <w:spacing w:after="105"/>
        <w:rPr>
          <w:rFonts w:asciiTheme="minorHAnsi" w:eastAsia="Arial" w:hAnsiTheme="minorHAnsi" w:cstheme="minorHAnsi"/>
          <w:i/>
          <w:sz w:val="24"/>
          <w:szCs w:val="24"/>
          <w:u w:val="single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Non previste</w:t>
      </w:r>
    </w:p>
    <w:p w14:paraId="00000022" w14:textId="2246CD0C" w:rsidR="004C0604" w:rsidRPr="00455529" w:rsidRDefault="007860EE" w:rsidP="00455529">
      <w:pPr>
        <w:spacing w:after="105"/>
        <w:jc w:val="center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USCITE</w:t>
      </w:r>
    </w:p>
    <w:p w14:paraId="00000024" w14:textId="2384EA98" w:rsidR="004C0604" w:rsidRPr="00455529" w:rsidRDefault="007860EE" w:rsidP="00455529">
      <w:pPr>
        <w:spacing w:after="150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USCITE PER GLI ORGANI DELL’ENTE € 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2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7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250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,00</w:t>
      </w:r>
      <w:r w:rsidR="005E078E" w:rsidRPr="00455529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3849A0B8" w14:textId="77777777" w:rsidR="0070542A" w:rsidRDefault="007860EE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Tale voce è composta da 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>c</w:t>
      </w:r>
      <w:r w:rsidRPr="00455529">
        <w:rPr>
          <w:rFonts w:asciiTheme="minorHAnsi" w:eastAsia="Arial" w:hAnsiTheme="minorHAnsi" w:cstheme="minorHAnsi"/>
          <w:sz w:val="24"/>
          <w:szCs w:val="24"/>
        </w:rPr>
        <w:t>ompensi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 per il 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>C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>onsiglio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>a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ssicurazione Consiglieri, </w:t>
      </w:r>
      <w:r w:rsidR="00BB72C6">
        <w:rPr>
          <w:rFonts w:asciiTheme="minorHAnsi" w:eastAsia="Arial" w:hAnsiTheme="minorHAnsi" w:cstheme="minorHAnsi"/>
          <w:sz w:val="24"/>
          <w:szCs w:val="24"/>
        </w:rPr>
        <w:t xml:space="preserve">compenso per organi di revisione, 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>rimbors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>i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 spese e progettualità commissioni d’albo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 xml:space="preserve"> (ECM)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BB72C6">
        <w:rPr>
          <w:rFonts w:asciiTheme="minorHAnsi" w:eastAsia="Arial" w:hAnsiTheme="minorHAnsi" w:cstheme="minorHAnsi"/>
          <w:sz w:val="24"/>
          <w:szCs w:val="24"/>
        </w:rPr>
        <w:t xml:space="preserve">Rispetto al 2024 la voce “Indennità consiglio direttivo” è aumentata di euro 1.100,00 euro perché a fronte del rinnovo del Consiglio Direttivo, aumenteranno il numero di consiglieri da </w:t>
      </w:r>
      <w:r w:rsidR="0070542A">
        <w:rPr>
          <w:rFonts w:asciiTheme="minorHAnsi" w:eastAsia="Arial" w:hAnsiTheme="minorHAnsi" w:cstheme="minorHAnsi"/>
          <w:sz w:val="24"/>
          <w:szCs w:val="24"/>
        </w:rPr>
        <w:t>10 a 13</w:t>
      </w:r>
      <w:r w:rsidR="00BB72C6">
        <w:rPr>
          <w:rFonts w:asciiTheme="minorHAnsi" w:eastAsia="Arial" w:hAnsiTheme="minorHAnsi" w:cstheme="minorHAnsi"/>
          <w:sz w:val="24"/>
          <w:szCs w:val="24"/>
        </w:rPr>
        <w:t xml:space="preserve">, pertanto è stato previsto il gettone di presenza, oltre ad un rimborso di euro 200,00 lordi annui per il consigliere che si assumerà il ruolo di RPCT. 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>Per il 202</w:t>
      </w:r>
      <w:r w:rsidR="00BB72C6">
        <w:rPr>
          <w:rFonts w:asciiTheme="minorHAnsi" w:eastAsia="Arial" w:hAnsiTheme="minorHAnsi" w:cstheme="minorHAnsi"/>
          <w:sz w:val="24"/>
          <w:szCs w:val="24"/>
        </w:rPr>
        <w:t>5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>il Consiglio dell’Ordine ha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 deliberato di non corrispondere compenso per 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>i componenti delle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 commissioni d’albo</w:t>
      </w:r>
      <w:r w:rsidR="0070542A">
        <w:rPr>
          <w:rFonts w:asciiTheme="minorHAnsi" w:eastAsia="Arial" w:hAnsiTheme="minorHAnsi" w:cstheme="minorHAnsi"/>
          <w:sz w:val="24"/>
          <w:szCs w:val="24"/>
        </w:rPr>
        <w:t>.</w:t>
      </w:r>
    </w:p>
    <w:p w14:paraId="00000025" w14:textId="5F209D70" w:rsidR="004C0604" w:rsidRDefault="0070542A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Rispetto al 2024 in questa categoria è stato inserito il capitolo “Compenso degli Organi di Revisione“, era 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incluso nei “compensi professionali ed onorari”.</w:t>
      </w:r>
    </w:p>
    <w:p w14:paraId="1D36ABBE" w14:textId="05293A7A" w:rsidR="0070542A" w:rsidRDefault="0070542A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La “progettualità CDA” è stata spostata nelle uscite per acquisto di beni e servizi.</w:t>
      </w:r>
    </w:p>
    <w:p w14:paraId="00000026" w14:textId="77777777" w:rsidR="004C0604" w:rsidRPr="00455529" w:rsidRDefault="007860EE">
      <w:pPr>
        <w:spacing w:after="4" w:line="366" w:lineRule="auto"/>
        <w:ind w:left="-5" w:right="471" w:hanging="10"/>
        <w:jc w:val="both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027" w14:textId="0EE59924" w:rsidR="004C0604" w:rsidRPr="00455529" w:rsidRDefault="00E2776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249"/>
          <w:tab w:val="center" w:pos="4957"/>
          <w:tab w:val="center" w:pos="5665"/>
          <w:tab w:val="center" w:pos="6373"/>
          <w:tab w:val="center" w:pos="8349"/>
        </w:tabs>
        <w:spacing w:after="101"/>
        <w:ind w:left="-15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USCITE PER </w:t>
      </w:r>
      <w:r w:rsidR="007860EE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PERSONALE IN ATTIVITA DI SERVIZIO € 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33.300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,00</w:t>
      </w:r>
    </w:p>
    <w:p w14:paraId="00000028" w14:textId="77777777" w:rsidR="004C0604" w:rsidRDefault="007860EE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Le spese del personale sono relative allo stipendio dell’impiegata, agli oneri previdenziali ed assistenziali, all’Irap sulle retribuzioni ed all’indennità TFR. </w:t>
      </w:r>
    </w:p>
    <w:p w14:paraId="01AFA422" w14:textId="2A028E78" w:rsidR="0070542A" w:rsidRDefault="0070542A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Rispetto al 2024 sono stati separati il compenso lordo dipendente dagli oneri previdenziali ed assistenziali a carico azienda.</w:t>
      </w:r>
    </w:p>
    <w:p w14:paraId="7BE38DBA" w14:textId="77777777" w:rsidR="00BB72C6" w:rsidRPr="00455529" w:rsidRDefault="00BB72C6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2A" w14:textId="7B35AD54" w:rsidR="004C0604" w:rsidRPr="00455529" w:rsidRDefault="007860EE" w:rsidP="00455529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USCITE PER ACQUISTO </w:t>
      </w:r>
      <w:r w:rsidR="00E27767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DI 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BENI E SERVIZI € 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32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BB72C6">
        <w:rPr>
          <w:rFonts w:asciiTheme="minorHAnsi" w:eastAsia="Arial" w:hAnsiTheme="minorHAnsi" w:cstheme="minorHAnsi"/>
          <w:b/>
          <w:sz w:val="24"/>
          <w:szCs w:val="24"/>
        </w:rPr>
        <w:t>7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00,00</w:t>
      </w:r>
    </w:p>
    <w:p w14:paraId="28904950" w14:textId="04568630" w:rsidR="00273928" w:rsidRPr="00455529" w:rsidRDefault="007860EE" w:rsidP="00273928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Le previsioni per l’anno 202</w:t>
      </w:r>
      <w:r w:rsidR="00BB72C6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sono costituite da consulenze amministrative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>/legali</w:t>
      </w:r>
      <w:r w:rsidRPr="00455529">
        <w:rPr>
          <w:rFonts w:asciiTheme="minorHAnsi" w:eastAsia="Arial" w:hAnsiTheme="minorHAnsi" w:cstheme="minorHAnsi"/>
          <w:sz w:val="24"/>
          <w:szCs w:val="24"/>
        </w:rPr>
        <w:t>, spese di rappresentanza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/trasferte </w:t>
      </w:r>
      <w:r w:rsidRPr="00455529">
        <w:rPr>
          <w:rFonts w:asciiTheme="minorHAnsi" w:eastAsia="Arial" w:hAnsiTheme="minorHAnsi" w:cstheme="minorHAnsi"/>
          <w:sz w:val="24"/>
          <w:szCs w:val="24"/>
        </w:rPr>
        <w:t>e di organizzazione di corsi e convegni</w:t>
      </w:r>
      <w:r w:rsidR="0070542A">
        <w:rPr>
          <w:rFonts w:asciiTheme="minorHAnsi" w:eastAsia="Arial" w:hAnsiTheme="minorHAnsi" w:cstheme="minorHAnsi"/>
          <w:sz w:val="24"/>
          <w:szCs w:val="24"/>
        </w:rPr>
        <w:t xml:space="preserve"> e progettualità CDA, albi e progetto scuole.</w:t>
      </w:r>
    </w:p>
    <w:p w14:paraId="1BB06E4C" w14:textId="2CA27614" w:rsidR="00333581" w:rsidRDefault="00D41818" w:rsidP="00D41818">
      <w:pPr>
        <w:spacing w:after="4" w:line="366" w:lineRule="auto"/>
        <w:ind w:right="471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>Come per il</w:t>
      </w:r>
      <w:r w:rsidR="00333581" w:rsidRPr="00455529">
        <w:rPr>
          <w:rFonts w:asciiTheme="minorHAnsi" w:eastAsia="Arial" w:hAnsiTheme="minorHAnsi" w:cstheme="minorHAnsi"/>
          <w:sz w:val="24"/>
          <w:szCs w:val="24"/>
        </w:rPr>
        <w:t xml:space="preserve"> 202</w:t>
      </w:r>
      <w:r>
        <w:rPr>
          <w:rFonts w:asciiTheme="minorHAnsi" w:eastAsia="Arial" w:hAnsiTheme="minorHAnsi" w:cstheme="minorHAnsi"/>
          <w:sz w:val="24"/>
          <w:szCs w:val="24"/>
        </w:rPr>
        <w:t>4</w:t>
      </w:r>
      <w:r w:rsidR="007A7B69" w:rsidRPr="00455529">
        <w:rPr>
          <w:rFonts w:asciiTheme="minorHAnsi" w:eastAsia="Arial" w:hAnsiTheme="minorHAnsi" w:cstheme="minorHAnsi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sz w:val="24"/>
          <w:szCs w:val="24"/>
        </w:rPr>
        <w:t xml:space="preserve">è stato </w:t>
      </w:r>
      <w:r w:rsidRPr="00455529">
        <w:rPr>
          <w:rFonts w:asciiTheme="minorHAnsi" w:eastAsia="Arial" w:hAnsiTheme="minorHAnsi" w:cstheme="minorHAnsi"/>
          <w:sz w:val="24"/>
          <w:szCs w:val="24"/>
        </w:rPr>
        <w:t>messo a disposizione di ciascuna CDA l</w:t>
      </w:r>
      <w:r>
        <w:rPr>
          <w:rFonts w:asciiTheme="minorHAnsi" w:eastAsia="Arial" w:hAnsiTheme="minorHAnsi" w:cstheme="minorHAnsi"/>
          <w:sz w:val="24"/>
          <w:szCs w:val="24"/>
        </w:rPr>
        <w:t>’importo di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euro 600,00 per la progettualità</w:t>
      </w:r>
      <w:r>
        <w:rPr>
          <w:rFonts w:asciiTheme="minorHAnsi" w:eastAsia="Arial" w:hAnsiTheme="minorHAnsi" w:cstheme="minorHAnsi"/>
          <w:sz w:val="24"/>
          <w:szCs w:val="24"/>
        </w:rPr>
        <w:t xml:space="preserve"> e </w:t>
      </w:r>
      <w:r w:rsidR="007A7B69" w:rsidRPr="00455529">
        <w:rPr>
          <w:rFonts w:asciiTheme="minorHAnsi" w:eastAsia="Arial" w:hAnsiTheme="minorHAnsi" w:cstheme="minorHAnsi"/>
          <w:sz w:val="24"/>
          <w:szCs w:val="24"/>
        </w:rPr>
        <w:t>di euro 300,00 da poter utilizzare per trasferte per convegni o altre attività relative alla funzione della Commissione d’Albo</w:t>
      </w:r>
      <w:r w:rsidR="0070542A">
        <w:rPr>
          <w:rFonts w:asciiTheme="minorHAnsi" w:eastAsia="Arial" w:hAnsiTheme="minorHAnsi" w:cstheme="minorHAnsi"/>
          <w:sz w:val="24"/>
          <w:szCs w:val="24"/>
        </w:rPr>
        <w:t xml:space="preserve"> (8 cda elette x 900,00 euro = 7.200,00) oltre a euro 1.800,00 a disposizione per attività multiordine e degli albo senza CDA elette.</w:t>
      </w:r>
    </w:p>
    <w:p w14:paraId="2A945B19" w14:textId="4EB5AF80" w:rsidR="00D41818" w:rsidRPr="00455529" w:rsidRDefault="00D41818" w:rsidP="00D41818">
      <w:pPr>
        <w:spacing w:after="4" w:line="366" w:lineRule="auto"/>
        <w:ind w:right="471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Inoltre a nel mese di gennaio 2025 partirà un progetto di orientamento nelle scuole superiori delle province di Forlì-Cesena e Rimini per informare i maturandi sulle possibilità di studio post diploma e far conoscere le professioni sanitarie</w:t>
      </w:r>
      <w:r w:rsidR="0070542A">
        <w:rPr>
          <w:rFonts w:asciiTheme="minorHAnsi" w:eastAsia="Arial" w:hAnsiTheme="minorHAnsi" w:cstheme="minorHAnsi"/>
          <w:sz w:val="24"/>
          <w:szCs w:val="24"/>
        </w:rPr>
        <w:t>.</w:t>
      </w:r>
    </w:p>
    <w:p w14:paraId="4B489EFB" w14:textId="48F12230" w:rsidR="007A7B69" w:rsidRPr="00455529" w:rsidRDefault="007A7B69" w:rsidP="00273928">
      <w:pPr>
        <w:spacing w:after="4" w:line="366" w:lineRule="auto"/>
        <w:ind w:left="-5" w:right="471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0000002D" w14:textId="7CF11F6B" w:rsidR="004C0604" w:rsidRPr="00455529" w:rsidRDefault="007860EE" w:rsidP="00455529">
      <w:pPr>
        <w:spacing w:after="117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USCITE PER FUNZIONAMENTO UFFICI € </w:t>
      </w:r>
      <w:r w:rsidR="00D41818">
        <w:rPr>
          <w:rFonts w:asciiTheme="minorHAnsi" w:eastAsia="Arial" w:hAnsiTheme="minorHAnsi" w:cstheme="minorHAnsi"/>
          <w:b/>
          <w:sz w:val="24"/>
          <w:szCs w:val="24"/>
        </w:rPr>
        <w:t>25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D41818">
        <w:rPr>
          <w:rFonts w:asciiTheme="minorHAnsi" w:eastAsia="Arial" w:hAnsiTheme="minorHAnsi" w:cstheme="minorHAnsi"/>
          <w:b/>
          <w:sz w:val="24"/>
          <w:szCs w:val="24"/>
        </w:rPr>
        <w:t>950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,00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               </w:t>
      </w:r>
    </w:p>
    <w:p w14:paraId="0020DDEF" w14:textId="7CB01337" w:rsidR="00D41818" w:rsidRDefault="00D41818" w:rsidP="00455529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Per il 2025 sono previsti lavori straordinari di manutenzione dello stabile per adeguamento alla normativa antincendio e sono state previste spese condominiali di euro 3.500,00.</w:t>
      </w:r>
    </w:p>
    <w:p w14:paraId="2B873F57" w14:textId="2B8F1835" w:rsidR="00D41818" w:rsidRDefault="0070542A" w:rsidP="00455529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 far </w:t>
      </w:r>
      <w:r w:rsidR="00D41818">
        <w:rPr>
          <w:rFonts w:asciiTheme="minorHAnsi" w:eastAsia="Arial" w:hAnsiTheme="minorHAnsi" w:cstheme="minorHAnsi"/>
          <w:sz w:val="24"/>
          <w:szCs w:val="24"/>
        </w:rPr>
        <w:t xml:space="preserve">data </w:t>
      </w:r>
      <w:r>
        <w:rPr>
          <w:rFonts w:asciiTheme="minorHAnsi" w:eastAsia="Arial" w:hAnsiTheme="minorHAnsi" w:cstheme="minorHAnsi"/>
          <w:sz w:val="24"/>
          <w:szCs w:val="24"/>
        </w:rPr>
        <w:t xml:space="preserve">dal </w:t>
      </w:r>
      <w:r w:rsidR="00D41818">
        <w:rPr>
          <w:rFonts w:asciiTheme="minorHAnsi" w:eastAsia="Arial" w:hAnsiTheme="minorHAnsi" w:cstheme="minorHAnsi"/>
          <w:sz w:val="24"/>
          <w:szCs w:val="24"/>
        </w:rPr>
        <w:t xml:space="preserve">31/12/2024 </w:t>
      </w:r>
      <w:r>
        <w:rPr>
          <w:rFonts w:asciiTheme="minorHAnsi" w:eastAsia="Arial" w:hAnsiTheme="minorHAnsi" w:cstheme="minorHAnsi"/>
          <w:sz w:val="24"/>
          <w:szCs w:val="24"/>
        </w:rPr>
        <w:t xml:space="preserve">sarà interrotto il contratto in essere con </w:t>
      </w:r>
      <w:r w:rsidR="00D41818">
        <w:rPr>
          <w:rFonts w:asciiTheme="minorHAnsi" w:eastAsia="Arial" w:hAnsiTheme="minorHAnsi" w:cstheme="minorHAnsi"/>
          <w:sz w:val="24"/>
          <w:szCs w:val="24"/>
        </w:rPr>
        <w:t>l’impresa di pulizie per contenere i costi.</w:t>
      </w:r>
    </w:p>
    <w:p w14:paraId="09AB6EB5" w14:textId="6061A10E" w:rsidR="007A7B69" w:rsidRPr="00455529" w:rsidRDefault="007A7B69" w:rsidP="00455529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La voce Software </w:t>
      </w:r>
      <w:r w:rsidR="00D41818">
        <w:rPr>
          <w:rFonts w:asciiTheme="minorHAnsi" w:eastAsia="Arial" w:hAnsiTheme="minorHAnsi" w:cstheme="minorHAnsi"/>
          <w:sz w:val="24"/>
          <w:szCs w:val="24"/>
        </w:rPr>
        <w:t>aumenta in proporzione agli iscritti che richiedono l’attivazione della PEC dell’Ordine, gratuita per i professionisti ma a carico dell’Ordine (euro 5,00+iva ogni casella).</w:t>
      </w:r>
    </w:p>
    <w:p w14:paraId="0000002E" w14:textId="1CB57741" w:rsidR="004C0604" w:rsidRPr="00455529" w:rsidRDefault="004C0604">
      <w:pPr>
        <w:spacing w:after="4" w:line="366" w:lineRule="auto"/>
        <w:ind w:left="-5" w:right="471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00000030" w14:textId="6DD8E8DE" w:rsidR="004C0604" w:rsidRPr="00455529" w:rsidRDefault="007860EE" w:rsidP="00455529">
      <w:pPr>
        <w:spacing w:after="118"/>
        <w:rPr>
          <w:rFonts w:asciiTheme="minorHAnsi" w:eastAsia="Arial" w:hAnsiTheme="minorHAnsi" w:cstheme="minorHAnsi"/>
          <w:b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27767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USCITE PER PRESTAZIONI ISTITUZIONALI 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€ 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5</w:t>
      </w:r>
      <w:r w:rsidR="00D41818"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D41818">
        <w:rPr>
          <w:rFonts w:asciiTheme="minorHAnsi" w:eastAsia="Arial" w:hAnsiTheme="minorHAnsi" w:cstheme="minorHAnsi"/>
          <w:b/>
          <w:sz w:val="24"/>
          <w:szCs w:val="24"/>
        </w:rPr>
        <w:t>600</w:t>
      </w:r>
      <w:r w:rsidR="00E32F59" w:rsidRPr="00455529">
        <w:rPr>
          <w:rFonts w:asciiTheme="minorHAnsi" w:eastAsia="Arial" w:hAnsiTheme="minorHAnsi" w:cstheme="minorHAnsi"/>
          <w:b/>
          <w:sz w:val="24"/>
          <w:szCs w:val="24"/>
        </w:rPr>
        <w:t>,00</w:t>
      </w: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00000031" w14:textId="19A268C3" w:rsidR="004C0604" w:rsidRDefault="007860EE" w:rsidP="00F807F7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Tale voce è relativa a spese per 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>il riversamento della quota della TIA alla Federazione Nazionale Ordini</w:t>
      </w:r>
      <w:r w:rsidR="001D6F86" w:rsidRPr="00455529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euro </w:t>
      </w:r>
      <w:r w:rsidR="001D6F86" w:rsidRPr="00455529">
        <w:rPr>
          <w:rFonts w:asciiTheme="minorHAnsi" w:eastAsia="Arial" w:hAnsiTheme="minorHAnsi" w:cstheme="minorHAnsi"/>
          <w:sz w:val="24"/>
          <w:szCs w:val="24"/>
        </w:rPr>
        <w:t xml:space="preserve">26,00 </w:t>
      </w:r>
      <w:r w:rsidR="00D41818">
        <w:rPr>
          <w:rFonts w:asciiTheme="minorHAnsi" w:eastAsia="Arial" w:hAnsiTheme="minorHAnsi" w:cstheme="minorHAnsi"/>
          <w:sz w:val="24"/>
          <w:szCs w:val="24"/>
        </w:rPr>
        <w:t xml:space="preserve">ogni iscritto </w:t>
      </w:r>
      <w:r w:rsidR="001D6F86" w:rsidRPr="00455529">
        <w:rPr>
          <w:rFonts w:asciiTheme="minorHAnsi" w:eastAsia="Arial" w:hAnsiTheme="minorHAnsi" w:cstheme="minorHAnsi"/>
          <w:sz w:val="24"/>
          <w:szCs w:val="24"/>
        </w:rPr>
        <w:t>per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 xml:space="preserve"> totale iscritti</w:t>
      </w:r>
      <w:r w:rsidR="001D6F86" w:rsidRPr="00455529">
        <w:rPr>
          <w:rFonts w:asciiTheme="minorHAnsi" w:eastAsia="Arial" w:hAnsiTheme="minorHAnsi" w:cstheme="minorHAnsi"/>
          <w:sz w:val="24"/>
          <w:szCs w:val="24"/>
        </w:rPr>
        <w:t xml:space="preserve"> previsti </w:t>
      </w:r>
      <w:r w:rsidR="00E32F59" w:rsidRPr="00455529">
        <w:rPr>
          <w:rFonts w:asciiTheme="minorHAnsi" w:eastAsia="Arial" w:hAnsiTheme="minorHAnsi" w:cstheme="minorHAnsi"/>
          <w:sz w:val="24"/>
          <w:szCs w:val="24"/>
        </w:rPr>
        <w:t>e quota del coordinamento regionale.</w:t>
      </w:r>
    </w:p>
    <w:p w14:paraId="2FB22B39" w14:textId="134CB08E" w:rsidR="003B7189" w:rsidRPr="003B7189" w:rsidRDefault="003B7189" w:rsidP="00F807F7">
      <w:pPr>
        <w:spacing w:after="4" w:line="366" w:lineRule="auto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B7189">
        <w:rPr>
          <w:rFonts w:asciiTheme="minorHAnsi" w:eastAsia="Arial" w:hAnsiTheme="minorHAnsi" w:cstheme="minorHAnsi"/>
          <w:sz w:val="24"/>
          <w:szCs w:val="24"/>
          <w:u w:val="single"/>
        </w:rPr>
        <w:t>La quota FNO è stata lasciata euro 26,00 in attesa dell’adunanza per approvazione bilancio previsionale 2025 della federazione nazionale Ordini del 15 e 16 novembre 2024.</w:t>
      </w:r>
    </w:p>
    <w:p w14:paraId="1BC3883C" w14:textId="77777777" w:rsidR="00F807F7" w:rsidRPr="00455529" w:rsidRDefault="00F807F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33" w14:textId="55648E08" w:rsidR="004C0604" w:rsidRPr="00455529" w:rsidRDefault="00E2776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USCITE PER </w:t>
      </w:r>
      <w:r w:rsidR="007860EE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ONERI FINANZIARI € </w:t>
      </w:r>
      <w:r w:rsidR="00D41818"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053494" w:rsidRPr="00455529">
        <w:rPr>
          <w:rFonts w:asciiTheme="minorHAnsi" w:eastAsia="Arial" w:hAnsiTheme="minorHAnsi" w:cstheme="minorHAnsi"/>
          <w:b/>
          <w:sz w:val="24"/>
          <w:szCs w:val="24"/>
        </w:rPr>
        <w:t>00,00</w:t>
      </w:r>
    </w:p>
    <w:p w14:paraId="573CC48D" w14:textId="77777777" w:rsidR="00D41818" w:rsidRPr="00455529" w:rsidRDefault="00D41818" w:rsidP="00D4181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Questa voce comprende spese e commissioni bancarie.</w:t>
      </w:r>
    </w:p>
    <w:p w14:paraId="00000034" w14:textId="5B4DEAFD" w:rsidR="004C0604" w:rsidRPr="00455529" w:rsidRDefault="00D4181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Il cambio di istituto di credito operato nel gennaio 2024 ha apportato un taglio considerevole delle spese per oneri bancari (da 500,00 euro a 300,00) </w:t>
      </w:r>
    </w:p>
    <w:p w14:paraId="00000035" w14:textId="77777777" w:rsidR="004C0604" w:rsidRPr="00455529" w:rsidRDefault="004C0604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eastAsia="Arial" w:hAnsiTheme="minorHAnsi" w:cstheme="minorHAnsi"/>
          <w:sz w:val="24"/>
          <w:szCs w:val="24"/>
        </w:rPr>
      </w:pPr>
    </w:p>
    <w:p w14:paraId="00000036" w14:textId="768D79D1" w:rsidR="004C0604" w:rsidRPr="00455529" w:rsidRDefault="00E2776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USCITE PER </w:t>
      </w:r>
      <w:r w:rsidR="007860EE" w:rsidRPr="00455529">
        <w:rPr>
          <w:rFonts w:asciiTheme="minorHAnsi" w:eastAsia="Arial" w:hAnsiTheme="minorHAnsi" w:cstheme="minorHAnsi"/>
          <w:b/>
          <w:sz w:val="24"/>
          <w:szCs w:val="24"/>
        </w:rPr>
        <w:t xml:space="preserve">ONERI TRIBUTARI € </w:t>
      </w:r>
      <w:r w:rsidR="00053494" w:rsidRPr="00455529">
        <w:rPr>
          <w:rFonts w:asciiTheme="minorHAnsi" w:eastAsia="Arial" w:hAnsiTheme="minorHAnsi" w:cstheme="minorHAnsi"/>
          <w:b/>
          <w:sz w:val="24"/>
          <w:szCs w:val="24"/>
        </w:rPr>
        <w:t>2.500,00</w:t>
      </w:r>
    </w:p>
    <w:p w14:paraId="00000037" w14:textId="5D1E50A2" w:rsidR="004C0604" w:rsidRPr="00455529" w:rsidRDefault="007860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Sono rappresentati da imposte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 xml:space="preserve"> e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tasse</w:t>
      </w:r>
      <w:r w:rsidR="00F807F7" w:rsidRPr="00455529">
        <w:rPr>
          <w:rFonts w:asciiTheme="minorHAnsi" w:eastAsia="Arial" w:hAnsiTheme="minorHAnsi" w:cstheme="minorHAnsi"/>
          <w:sz w:val="24"/>
          <w:szCs w:val="24"/>
        </w:rPr>
        <w:t>.</w:t>
      </w:r>
    </w:p>
    <w:p w14:paraId="00000038" w14:textId="77777777" w:rsidR="004C0604" w:rsidRDefault="004C06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rPr>
          <w:rFonts w:asciiTheme="minorHAnsi" w:eastAsia="Arial" w:hAnsiTheme="minorHAnsi" w:cstheme="minorHAnsi"/>
          <w:b/>
          <w:sz w:val="24"/>
          <w:szCs w:val="24"/>
        </w:rPr>
      </w:pPr>
    </w:p>
    <w:p w14:paraId="40A17A62" w14:textId="348B1367" w:rsidR="00BD0FC3" w:rsidRPr="00BD0FC3" w:rsidRDefault="00BD0FC3" w:rsidP="00BD0FC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eastAsia="Arial" w:hAnsiTheme="minorHAnsi" w:cstheme="minorHAnsi"/>
          <w:b/>
          <w:sz w:val="24"/>
          <w:szCs w:val="24"/>
        </w:rPr>
      </w:pPr>
      <w:r w:rsidRPr="00BD0FC3">
        <w:rPr>
          <w:rFonts w:asciiTheme="minorHAnsi" w:eastAsia="Arial" w:hAnsiTheme="minorHAnsi" w:cstheme="minorHAnsi"/>
          <w:b/>
          <w:sz w:val="24"/>
          <w:szCs w:val="24"/>
        </w:rPr>
        <w:t>ACQUISIZIONE IMMOBILIZZAZIONI TECNICHE € 400,00</w:t>
      </w:r>
    </w:p>
    <w:p w14:paraId="41F92AD2" w14:textId="6B53B61A" w:rsidR="00BD0FC3" w:rsidRPr="00BD0FC3" w:rsidRDefault="00BD0FC3" w:rsidP="00BD0FC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0"/>
        </w:tabs>
        <w:spacing w:after="101"/>
        <w:ind w:left="-15"/>
        <w:rPr>
          <w:rFonts w:asciiTheme="minorHAnsi" w:eastAsia="Arial" w:hAnsiTheme="minorHAnsi" w:cstheme="minorHAnsi"/>
          <w:bCs/>
          <w:sz w:val="24"/>
          <w:szCs w:val="24"/>
        </w:rPr>
      </w:pPr>
      <w:r w:rsidRPr="00BD0FC3">
        <w:rPr>
          <w:rFonts w:asciiTheme="minorHAnsi" w:eastAsia="Arial" w:hAnsiTheme="minorHAnsi" w:cstheme="minorHAnsi"/>
          <w:bCs/>
          <w:sz w:val="24"/>
          <w:szCs w:val="24"/>
        </w:rPr>
        <w:t>Per il 2025 di acquistare un PC portatile rigenerato, restituendo il vecchio PC.</w:t>
      </w:r>
    </w:p>
    <w:p w14:paraId="1863F260" w14:textId="77777777" w:rsidR="00D41818" w:rsidRPr="00455529" w:rsidRDefault="00D418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1"/>
        <w:ind w:left="-5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3E" w14:textId="77777777" w:rsidR="004C0604" w:rsidRPr="00455529" w:rsidRDefault="007860EE">
      <w:pPr>
        <w:spacing w:after="4" w:line="366" w:lineRule="auto"/>
        <w:ind w:left="-5" w:right="471" w:hanging="1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********</w:t>
      </w:r>
    </w:p>
    <w:p w14:paraId="0000003F" w14:textId="039EA419" w:rsidR="004C0604" w:rsidRPr="00455529" w:rsidRDefault="007860EE">
      <w:pPr>
        <w:spacing w:after="4" w:line="366" w:lineRule="auto"/>
        <w:ind w:left="-5" w:right="471" w:hanging="10"/>
        <w:jc w:val="both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Concludendo, invito i Colleghi ad esprimere le loro osservazioni, richiedere ulteriori chiarimenti e successivamente ad approvare il Bilancio preventivo 202</w:t>
      </w:r>
      <w:r w:rsidR="00BD0FC3">
        <w:rPr>
          <w:rFonts w:asciiTheme="minorHAnsi" w:eastAsia="Arial" w:hAnsiTheme="minorHAnsi" w:cstheme="minorHAnsi"/>
          <w:sz w:val="24"/>
          <w:szCs w:val="24"/>
        </w:rPr>
        <w:t>5</w:t>
      </w: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ed i relativi allegati. </w:t>
      </w:r>
    </w:p>
    <w:p w14:paraId="00000041" w14:textId="4F39997D" w:rsidR="004C0604" w:rsidRPr="00455529" w:rsidRDefault="00455529">
      <w:pPr>
        <w:spacing w:after="4"/>
        <w:ind w:left="-5" w:right="471" w:hanging="10"/>
        <w:jc w:val="both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Cesena</w:t>
      </w:r>
      <w:r w:rsidR="007860EE" w:rsidRPr="0045552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664683">
        <w:rPr>
          <w:rFonts w:asciiTheme="minorHAnsi" w:eastAsia="Arial" w:hAnsiTheme="minorHAnsi" w:cstheme="minorHAnsi"/>
          <w:sz w:val="24"/>
          <w:szCs w:val="24"/>
        </w:rPr>
        <w:t>5</w:t>
      </w:r>
      <w:r w:rsidR="00BD0FC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B7189">
        <w:rPr>
          <w:rFonts w:asciiTheme="minorHAnsi" w:eastAsia="Arial" w:hAnsiTheme="minorHAnsi" w:cstheme="minorHAnsi"/>
          <w:sz w:val="24"/>
          <w:szCs w:val="24"/>
        </w:rPr>
        <w:t>novembre 2024</w:t>
      </w:r>
    </w:p>
    <w:p w14:paraId="00000042" w14:textId="77777777" w:rsidR="004C0604" w:rsidRPr="00455529" w:rsidRDefault="007860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292CE6B" w14:textId="77777777" w:rsidR="00455529" w:rsidRDefault="007860EE">
      <w:pPr>
        <w:spacing w:after="4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 xml:space="preserve">Il Tesoriere  </w:t>
      </w:r>
      <w:bookmarkStart w:id="0" w:name="_heading=h.gjdgxs" w:colFirst="0" w:colLast="0"/>
      <w:bookmarkEnd w:id="0"/>
    </w:p>
    <w:p w14:paraId="00000044" w14:textId="01A4991E" w:rsidR="004C0604" w:rsidRPr="00455529" w:rsidRDefault="005E078E">
      <w:pPr>
        <w:spacing w:after="4"/>
        <w:ind w:left="-5" w:right="471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55529">
        <w:rPr>
          <w:rFonts w:asciiTheme="minorHAnsi" w:eastAsia="Arial" w:hAnsiTheme="minorHAnsi" w:cstheme="minorHAnsi"/>
          <w:sz w:val="24"/>
          <w:szCs w:val="24"/>
        </w:rPr>
        <w:t>Sara Biondi</w:t>
      </w:r>
    </w:p>
    <w:sectPr w:rsidR="004C0604" w:rsidRPr="00455529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CC4C" w14:textId="77777777" w:rsidR="007860EE" w:rsidRDefault="007860EE">
      <w:pPr>
        <w:spacing w:after="0" w:line="240" w:lineRule="auto"/>
      </w:pPr>
      <w:r>
        <w:separator/>
      </w:r>
    </w:p>
  </w:endnote>
  <w:endnote w:type="continuationSeparator" w:id="0">
    <w:p w14:paraId="04A3B01B" w14:textId="77777777" w:rsidR="007860EE" w:rsidRDefault="0078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4C0604" w:rsidRDefault="007860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35838">
      <w:rPr>
        <w:noProof/>
      </w:rPr>
      <w:t>2</w:t>
    </w:r>
    <w:r>
      <w:fldChar w:fldCharType="end"/>
    </w:r>
  </w:p>
  <w:p w14:paraId="00000046" w14:textId="77777777" w:rsidR="004C0604" w:rsidRDefault="004C06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5CA4" w14:textId="77777777" w:rsidR="007860EE" w:rsidRDefault="007860EE">
      <w:pPr>
        <w:spacing w:after="0" w:line="240" w:lineRule="auto"/>
      </w:pPr>
      <w:r>
        <w:separator/>
      </w:r>
    </w:p>
  </w:footnote>
  <w:footnote w:type="continuationSeparator" w:id="0">
    <w:p w14:paraId="597E2099" w14:textId="77777777" w:rsidR="007860EE" w:rsidRDefault="0078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0004"/>
    <w:multiLevelType w:val="multilevel"/>
    <w:tmpl w:val="A3D496CC"/>
    <w:lvl w:ilvl="0">
      <w:start w:val="1"/>
      <w:numFmt w:val="lowerLetter"/>
      <w:lvlText w:val="%1)"/>
      <w:lvlJc w:val="left"/>
      <w:pPr>
        <w:ind w:left="259" w:hanging="25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54EB1442"/>
    <w:multiLevelType w:val="multilevel"/>
    <w:tmpl w:val="970C4E98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 w16cid:durableId="1289320107">
    <w:abstractNumId w:val="1"/>
  </w:num>
  <w:num w:numId="2" w16cid:durableId="3986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04"/>
    <w:rsid w:val="00053494"/>
    <w:rsid w:val="0019602B"/>
    <w:rsid w:val="001D6F86"/>
    <w:rsid w:val="001E3373"/>
    <w:rsid w:val="00225B95"/>
    <w:rsid w:val="00273928"/>
    <w:rsid w:val="00333581"/>
    <w:rsid w:val="003B7189"/>
    <w:rsid w:val="00455529"/>
    <w:rsid w:val="004C0604"/>
    <w:rsid w:val="00505927"/>
    <w:rsid w:val="005E078E"/>
    <w:rsid w:val="00640242"/>
    <w:rsid w:val="00664683"/>
    <w:rsid w:val="0070542A"/>
    <w:rsid w:val="007860EE"/>
    <w:rsid w:val="007947F5"/>
    <w:rsid w:val="007A7B69"/>
    <w:rsid w:val="007E361E"/>
    <w:rsid w:val="008254CC"/>
    <w:rsid w:val="009316A3"/>
    <w:rsid w:val="00B42D0E"/>
    <w:rsid w:val="00BB72C6"/>
    <w:rsid w:val="00BD0FC3"/>
    <w:rsid w:val="00CD31BA"/>
    <w:rsid w:val="00D41818"/>
    <w:rsid w:val="00D86CFF"/>
    <w:rsid w:val="00DA2BA6"/>
    <w:rsid w:val="00E10C58"/>
    <w:rsid w:val="00E27767"/>
    <w:rsid w:val="00E32F59"/>
    <w:rsid w:val="00E62EB8"/>
    <w:rsid w:val="00E75D7A"/>
    <w:rsid w:val="00F35838"/>
    <w:rsid w:val="00F807F7"/>
    <w:rsid w:val="00F9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121"/>
  <w15:docId w15:val="{5B6C1702-7FF6-4FF8-AE56-9959691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FF6"/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link w:val="Titolo2Carattere"/>
    <w:uiPriority w:val="9"/>
    <w:unhideWhenUsed/>
    <w:qFormat/>
    <w:rsid w:val="00EB0FF6"/>
    <w:pPr>
      <w:keepNext/>
      <w:keepLines/>
      <w:spacing w:after="10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EB0FF6"/>
    <w:pPr>
      <w:keepNext/>
      <w:keepLines/>
      <w:spacing w:after="0"/>
      <w:ind w:left="1321" w:hanging="10"/>
      <w:outlineLvl w:val="2"/>
    </w:pPr>
    <w:rPr>
      <w:rFonts w:ascii="Arial" w:eastAsia="Arial" w:hAnsi="Arial" w:cs="Arial"/>
      <w:b/>
      <w:color w:val="000080"/>
      <w:sz w:val="28"/>
      <w:shd w:val="clear" w:color="auto" w:fill="D8D8D8"/>
    </w:rPr>
  </w:style>
  <w:style w:type="paragraph" w:styleId="Titolo4">
    <w:name w:val="heading 4"/>
    <w:next w:val="Normale"/>
    <w:link w:val="Titolo4Carattere"/>
    <w:uiPriority w:val="9"/>
    <w:unhideWhenUsed/>
    <w:qFormat/>
    <w:rsid w:val="00EB0FF6"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97"/>
      <w:ind w:left="10" w:right="159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B0FF6"/>
    <w:rPr>
      <w:rFonts w:ascii="Arial" w:eastAsia="Arial" w:hAnsi="Arial" w:cs="Arial"/>
      <w:b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B0FF6"/>
    <w:rPr>
      <w:rFonts w:ascii="Arial" w:eastAsia="Arial" w:hAnsi="Arial" w:cs="Arial"/>
      <w:b/>
      <w:color w:val="000080"/>
      <w:sz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B0FF6"/>
    <w:rPr>
      <w:rFonts w:ascii="Times New Roman" w:eastAsia="Times New Roman" w:hAnsi="Times New Roman" w:cs="Times New Roman"/>
      <w:b/>
      <w:color w:val="000000"/>
      <w:sz w:val="19"/>
      <w:lang w:eastAsia="it-IT"/>
    </w:rPr>
  </w:style>
  <w:style w:type="paragraph" w:styleId="Paragrafoelenco">
    <w:name w:val="List Paragraph"/>
    <w:basedOn w:val="Normale"/>
    <w:uiPriority w:val="34"/>
    <w:qFormat/>
    <w:rsid w:val="00EB0F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6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601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6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601"/>
    <w:rPr>
      <w:rFonts w:ascii="Calibri" w:eastAsia="Calibri" w:hAnsi="Calibri" w:cs="Calibri"/>
      <w:color w:val="000000"/>
      <w:lang w:eastAsia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I99xCD6mtpppNUCHtz8fbzEB0A==">AMUW2mVGzQmoP4bmX2NPq+KoV5vtvqQXouBghsgnUR3nstqVgDi5659ELmdWur1DQShHNk38ZIg2AhWOQ0Uqfv+tQilg5xJwHyvw8IjKZ9Y4aH8EyXdWheuqkFAcO2zzwTj1tWsPWThD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Segreteria1</cp:lastModifiedBy>
  <cp:revision>6</cp:revision>
  <dcterms:created xsi:type="dcterms:W3CDTF">2024-11-11T09:25:00Z</dcterms:created>
  <dcterms:modified xsi:type="dcterms:W3CDTF">2024-11-12T13:27:00Z</dcterms:modified>
</cp:coreProperties>
</file>